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8-20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322440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20. august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bookmarkEnd w:id="0"/>
            <w:r w:rsidR="00322440">
              <w:t>14-2340667</w:t>
            </w:r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Pr="00322440" w:rsidRDefault="00322440" w:rsidP="00322440">
            <w:pPr>
              <w:pStyle w:val="Overskrift1"/>
              <w:outlineLvl w:val="0"/>
              <w:rPr>
                <w:sz w:val="24"/>
                <w:szCs w:val="24"/>
              </w:rPr>
            </w:pPr>
            <w:r w:rsidRPr="00322440">
              <w:rPr>
                <w:sz w:val="24"/>
                <w:szCs w:val="24"/>
              </w:rPr>
              <w:t xml:space="preserve">Høringsliste </w:t>
            </w:r>
            <w:r>
              <w:rPr>
                <w:sz w:val="24"/>
                <w:szCs w:val="24"/>
              </w:rPr>
              <w:t>til</w:t>
            </w:r>
            <w:r w:rsidRPr="00322440">
              <w:rPr>
                <w:sz w:val="24"/>
                <w:szCs w:val="24"/>
              </w:rPr>
              <w:t xml:space="preserve"> forslag til lov om ændring af lov om afgift af elektricitet, personskatteloven og forskellige andre love (Tilb</w:t>
            </w:r>
            <w:r w:rsidRPr="00322440">
              <w:rPr>
                <w:sz w:val="24"/>
                <w:szCs w:val="24"/>
              </w:rPr>
              <w:t>a</w:t>
            </w:r>
            <w:r w:rsidRPr="00322440">
              <w:rPr>
                <w:sz w:val="24"/>
                <w:szCs w:val="24"/>
              </w:rPr>
              <w:t>gerulning af forsyningssikkerhedsafgiften, nedsættelse af e</w:t>
            </w:r>
            <w:r w:rsidRPr="00322440">
              <w:rPr>
                <w:sz w:val="24"/>
                <w:szCs w:val="24"/>
              </w:rPr>
              <w:t>l</w:t>
            </w:r>
            <w:r w:rsidRPr="00322440">
              <w:rPr>
                <w:sz w:val="24"/>
                <w:szCs w:val="24"/>
              </w:rPr>
              <w:t>varmeafgiften, forhøjelse af elafgiften, og tilpasning af afgift</w:t>
            </w:r>
            <w:r w:rsidRPr="00322440">
              <w:rPr>
                <w:sz w:val="24"/>
                <w:szCs w:val="24"/>
              </w:rPr>
              <w:t>s</w:t>
            </w:r>
            <w:r w:rsidRPr="00322440">
              <w:rPr>
                <w:sz w:val="24"/>
                <w:szCs w:val="24"/>
              </w:rPr>
              <w:t>regler for VE-brændsler på baggrund af EU-retten, finansiering af for-syningssikkerhedsafgiften ved forhøjelse af bundska</w:t>
            </w:r>
            <w:r w:rsidRPr="00322440">
              <w:rPr>
                <w:sz w:val="24"/>
                <w:szCs w:val="24"/>
              </w:rPr>
              <w:t>t</w:t>
            </w:r>
            <w:r w:rsidRPr="00322440">
              <w:rPr>
                <w:sz w:val="24"/>
                <w:szCs w:val="24"/>
              </w:rPr>
              <w:t>ten og det skrå skatteloft og nedsættelse af den grønne check samt a</w:t>
            </w:r>
            <w:r w:rsidRPr="00322440">
              <w:rPr>
                <w:sz w:val="24"/>
                <w:szCs w:val="24"/>
              </w:rPr>
              <w:t>f</w:t>
            </w:r>
            <w:r w:rsidRPr="00322440">
              <w:rPr>
                <w:sz w:val="24"/>
                <w:szCs w:val="24"/>
              </w:rPr>
              <w:t>giftsforhøjelse på cigarillos m.v.)</w:t>
            </w:r>
          </w:p>
        </w:tc>
      </w:tr>
    </w:tbl>
    <w:p w:rsidR="00466136" w:rsidRDefault="00466136" w:rsidP="00655B49"/>
    <w:tbl>
      <w:tblPr>
        <w:tblW w:w="10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4973"/>
      </w:tblGrid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Organisation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Mail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3F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3f@3f.dk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3F Privat Service, Hotel og Restauration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8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john.frederiksen@3f.dk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Advokatsamfundet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samfund@advokatsamfundet.dk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Affald Plus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9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affaldplus@affaldplus.dk</w:t>
              </w:r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br/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Akademikerne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0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ac@ac.dk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Aluminium Danmark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1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jh@alu.dk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proofErr w:type="spellStart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AmCham</w:t>
            </w:r>
            <w:proofErr w:type="spellEnd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 Denmark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mail@amcham.dk 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Arbejderbevægelsens Erhvervsråd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2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ae@ae.dk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ARI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3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ari@di.dk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ATP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4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Pote@atp.dk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Biobrændselsforeningen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poulhenning@sejthen.eu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Blik- og Rørarbejderforbundet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5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forbundet@blikroer.dk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Borger- og retssikkerhedschefen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6" w:history="1">
              <w:r w:rsidRPr="00322440">
                <w:rPr>
                  <w:rFonts w:ascii="Calibri" w:eastAsia="Times New Roman" w:hAnsi="Calibri" w:cs="Times New Roman"/>
                  <w:szCs w:val="22"/>
                  <w:lang w:eastAsia="da-DK"/>
                </w:rPr>
                <w:t>margrethe.noergaard@skat.dk</w:t>
              </w:r>
            </w:hyperlink>
            <w:r w:rsidRPr="00322440">
              <w:rPr>
                <w:rFonts w:ascii="Calibri" w:eastAsia="Times New Roman" w:hAnsi="Calibri" w:cs="Times New Roman"/>
                <w:szCs w:val="22"/>
                <w:lang w:eastAsia="da-DK"/>
              </w:rPr>
              <w:t>; retssikke</w:t>
            </w:r>
            <w:r w:rsidRPr="00322440">
              <w:rPr>
                <w:rFonts w:ascii="Calibri" w:eastAsia="Times New Roman" w:hAnsi="Calibri" w:cs="Times New Roman"/>
                <w:szCs w:val="22"/>
                <w:lang w:eastAsia="da-DK"/>
              </w:rPr>
              <w:t>r</w:t>
            </w:r>
            <w:r w:rsidRPr="00322440">
              <w:rPr>
                <w:rFonts w:ascii="Calibri" w:eastAsia="Times New Roman" w:hAnsi="Calibri" w:cs="Times New Roman"/>
                <w:szCs w:val="22"/>
                <w:lang w:eastAsia="da-DK"/>
              </w:rPr>
              <w:t>hed@skat.dk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Brancheforeningen for Biogas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biogas@lf.dk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Brancheforeningen for Decentral Kraftvarme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mail@brancheforeningenkraftvarme.dk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Brancheforeningen for Husstandsvindmøller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mail@husstandsvindmolle.org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Business Danmark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info@businessdanmark.dk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Børsmæglerforeningen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mail@dbmf.dk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CAD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7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cad@cad.dk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CEPOS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info@cepos.dk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proofErr w:type="spellStart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Cevea</w:t>
            </w:r>
            <w:proofErr w:type="spellEnd"/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cevea@cevea.dk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DAKOFA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dakofa@dakofa.dk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Danish </w:t>
            </w:r>
            <w:proofErr w:type="spellStart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Export</w:t>
            </w:r>
            <w:proofErr w:type="spellEnd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 Association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8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export@dk-export.dk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Danish Operators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info@danishoperators.com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Fiskeriforening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mail@dkfisk.dk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Jordbrugsforskning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dca@agrsci.au.dk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Naturfredningsforening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dn@dn.dk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Rederiforening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info@shipowners.dk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Rejsebureau 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drf@travelassoc.dk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Skibskreditfond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danmarks@skibskredit.dk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lastRenderedPageBreak/>
              <w:t>Danmarks Vindmølleforening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info@dkvind.dk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Affaldsforening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mail@danskaffaldsforening.dk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Aktionærforening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daf@shareholders.dk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Arbejdsgiverforening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da@da.dk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Biobrændsels- og Kulimportørers Association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19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thh@dlg.dk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Byggeri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info@danskbyggeri.dk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Dagligvareleverandørforening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0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info@dagligvareleverandorerne.dk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Energi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info@danskenergi.dk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Erhverv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hoeringssager@danskerhverv.dk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Fjernvarme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mail@danskfjernvarme.dk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Funktionærforbund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service@forbundet.dk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Gartneri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danskgartneri@danskgartneri.dk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Gasteknisk Center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dgc@dgc.dk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Iværksætterforening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info@d-i-f.dk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Journalistforbund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 dj@journalistforbundet.dk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Landbrugsrådgivning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skat@landscentret.dk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Metal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metal@danskmetal.dk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Dansk </w:t>
            </w:r>
            <w:proofErr w:type="spellStart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Methanolforening</w:t>
            </w:r>
            <w:proofErr w:type="spellEnd"/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1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methanolassociation@gmail.com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Dansk Mode og </w:t>
            </w:r>
            <w:proofErr w:type="spellStart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Textil</w:t>
            </w:r>
            <w:proofErr w:type="spellEnd"/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2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info@dmogt.dk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Retursystem A/S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info@dansk-retursystem.dk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Skovforening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info@skovforeningen.dk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Solcelleforening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sekretariat@solcelleforening.dk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Told- og Skatteforbund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dts@dts.dk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Advokater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mail@danskeadvokater.dk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Halmleverandører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3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thl@lf.dk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Havne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danskehavne@danskehavne.dk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Maritime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info@danskemaritime.dk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Regioner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regioner@regioner.dk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Speditører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info@dasp.dk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DANVA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danva@danva.dk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De Samvirkende Købmænd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dsk@dsk.dk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Den Danske Dommerforening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4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MikaelSjoberg@OestreLandsret.dk; dommerforeni</w:t>
              </w:r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n</w:t>
              </w:r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gen@gmail.dk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Den Danske Fondsmæglerforening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info@fondsmaeglerforeningen.dk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Den Danske Skatteborgerforening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info@skatteborgerne.dk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Det Økologiske Råd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info@ecocouncil.dk 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DI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DE68F3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skatafd@di.dk</w:t>
            </w:r>
            <w:bookmarkStart w:id="1" w:name="_GoBack"/>
            <w:bookmarkEnd w:id="1"/>
            <w:r w:rsidR="00322440"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; di@di.dk 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DI Transport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transport@di.dk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Digitaliseringsstyrelsen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digst@digst.dk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Dommerfuldmægtigforeningen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hoeringer@dommerfm.dk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Domstolsstyrelsen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post@domstolsstyrelsen.dk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DTL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dtl@dtl.eu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lastRenderedPageBreak/>
              <w:t>DTU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5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dtu@dtu.dk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DVCA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dvca@dvca.dk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Ejendomsforeningen Danmark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info@ejendomsforeningen.dk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Eksportrådet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eksportraadet@um.dk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proofErr w:type="spellStart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EmballageIndustrien</w:t>
            </w:r>
            <w:proofErr w:type="spellEnd"/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info@emballageindustrien.dk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 Danmark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ed@energidanmark.dk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Energi- og Olieforum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eof@eof.dk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Energiforum Danmark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info@energiforumdanmark.dk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Energiklagenævnet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ekn@ekn.dk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Energinet.dk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info@energinet.dk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ens@ens.dk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Energitilsynet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post@energitilsynet.dk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Erhvervsstyrelsen – Team Effektiv Regulering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letbyrder@erst.dk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Finans og Leasing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6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post@finansogleasing.dk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Finansrådet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mail@finansraadet.dk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FOA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foa@foa.dk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FORCE Technology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info@forcetechnology.com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af Rådgivende Ingeniører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fri@frinet.dk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Danske Kraftvarmeværker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mail@fdkv.dk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Danske Revisorer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7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fdr@fdr.dk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for Danske Biogasanlæg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8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aksel@toldergaard.dk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til Søfartens Fremme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info@soefart-frem.dk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Forsikring &amp; Pension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fp@forsikringogpension.dk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Forsikringsmæglerforeningen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29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fk@fmk.dk; fmf@fmf.dk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Frie Funktionærer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fifu@f-f.dk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FSE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fse@fse.dk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FSR - danske revisorer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fsr@fsr.dk; mbl@fsr.dk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FTF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ftf@ftf.dk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HK-Kommunal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01jbs@hk.dk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HK-Privat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44MSJ@hk.dk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HOFOR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0" w:tooltip=" Send mail 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hofor@hofor.dk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HORESTA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1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hoering@horesta.dk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Håndværksrådet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hvr@hvr.dk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Ingeniørforeningen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ida@ida.dk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International Transport Danmark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itd@itd.dk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InvesteringsForeningsRådet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info@ifr.dk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KL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2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kl@kl.dk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Kommunernes Revision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3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lg@kr.dk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Konkurrence- og Forbrugerstyrelsen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4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kfst@kfst.dk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Kraka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kontakt@kraka.org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Kræftens Bekæmpelse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info@cancer.dk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Landbrug &amp; Fødevarer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info@lf.dk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lastRenderedPageBreak/>
              <w:t>Landsforeningen for Bæredygtigt Landbrug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info@baeredygtigtlandbrug.dk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Landsskatteretten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5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sanst@sanst.dk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Ledernes Hovedorganisation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6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lederne@lederne.dk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LO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lo@lo.dk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Lokale Pengeinstitutter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sekretariatet@lopi.dk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Miljøstyrelsen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mst@mst.dk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Mineralolie Brancheforeningen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mb-miljoepuljen@live.dk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Moderniseringsstyrelsen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modst@modst.dk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val="en-US" w:eastAsia="da-DK"/>
              </w:rPr>
              <w:t>Nasdaq OMX Copenhagen A/S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copenhagen@nasdaqomx.com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Nationalbanken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nationalbanken@nationalbanken.dk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Nationalt Center for Miljø og Energi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dce@au.dk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Naturstyrelsen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nst@nst.dk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Noah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noah@noah.dk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Nordisk Folkecenter for Vedvarende Energi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info@folkecenter.dk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Nærbutikkernes Landsforening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info@nbl-landsforening.dk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Plastindustrien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pd@plast.dk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Realkreditforeningen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mail@realkreditforeningen.dk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Realkreditrådet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rr@realkreditraadet.dk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Rejsearbejdere.dk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h.e.meyer@post.tele.dk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Rejsearrangører i Danmark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info@rejsearrangorer.dk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Restaurationsbranchen.dk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kontakt@restaurationsbranchen.dk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Sammenslutningen af Landbrugets Arbejdsgiverforeninger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7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info@sala.dk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Sammenslutningen af Mindre Erhvervsfartøjer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info@smedanmark.dk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Sammensluttede Danske Energiforbrugere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sde@energiforbrugeren.dk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Samvirkende Energi- og Miljøkontorer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8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sek@sek.dk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Sikkerhedsstyrelsen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39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sik@sik.dk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SKAT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40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juraskat@skat.dk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Skatteankestyrelsen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sanst@sanst.dk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SRF Skattefaglig 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jesper</w:t>
            </w:r>
            <w:proofErr w:type="gramStart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.Kiholm</w:t>
            </w:r>
            <w:proofErr w:type="gramEnd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@skat.dk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Søfartens Ledere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mail@soefartens.org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Søfartsstyrelsen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sfs@dma.dk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Tobaksindustrien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jh@tobaksindustrien.dk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Tobaksproducenterne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info@tobaksproducenterne.dk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Vedvarende Energi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ab@ve.dk 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VELTEK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veltek@veltek.dk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proofErr w:type="spellStart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Videncentret</w:t>
            </w:r>
            <w:proofErr w:type="spellEnd"/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 for Landbrug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vfl@vfl.dk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Vindmølleindustrien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danish@windpower.org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WWF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41" w:history="1">
              <w:r w:rsidRPr="00322440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wwf@wwf.dk</w:t>
              </w:r>
            </w:hyperlink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Ældresagen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aeldresagen@aeldresagen.dk</w:t>
            </w:r>
          </w:p>
        </w:tc>
      </w:tr>
      <w:tr w:rsidR="00322440" w:rsidRPr="00322440" w:rsidTr="00DB6C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Økologisk Landsforening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322440" w:rsidRPr="00322440" w:rsidRDefault="00322440" w:rsidP="0032244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22440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info@okologi.dk</w:t>
            </w:r>
          </w:p>
        </w:tc>
      </w:tr>
    </w:tbl>
    <w:p w:rsidR="00503680" w:rsidRDefault="00503680" w:rsidP="00801F34"/>
    <w:sectPr w:rsidR="00503680" w:rsidSect="00207BE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A" w:rsidRDefault="00D363BA" w:rsidP="009E4B94">
      <w:pPr>
        <w:spacing w:line="240" w:lineRule="auto"/>
      </w:pPr>
      <w:r>
        <w:separator/>
      </w:r>
    </w:p>
  </w:endnote>
  <w:endnote w:type="continuationSeparator" w:id="0">
    <w:p w:rsidR="00D363BA" w:rsidRDefault="00D363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E68F3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E68F3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DE68F3">
                      <w:rPr>
                        <w:rStyle w:val="Sidetal"/>
                        <w:noProof/>
                      </w:rPr>
                      <w:t>4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DE68F3">
                      <w:rPr>
                        <w:rStyle w:val="Sidetal"/>
                        <w:noProof/>
                      </w:rPr>
                      <w:t>4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A" w:rsidRDefault="00D363BA" w:rsidP="009E4B94">
      <w:pPr>
        <w:spacing w:line="240" w:lineRule="auto"/>
      </w:pPr>
      <w:r>
        <w:separator/>
      </w:r>
    </w:p>
  </w:footnote>
  <w:footnote w:type="continuationSeparator" w:id="0">
    <w:p w:rsidR="00D363BA" w:rsidRDefault="00D363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36A3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42BF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2440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41F80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63BA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E68F3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i@di.dk" TargetMode="External"/><Relationship Id="rId18" Type="http://schemas.openxmlformats.org/officeDocument/2006/relationships/hyperlink" Target="mailto:export@dk-export.dk" TargetMode="External"/><Relationship Id="rId26" Type="http://schemas.openxmlformats.org/officeDocument/2006/relationships/hyperlink" Target="mailto:post@finansogleasing.dk" TargetMode="External"/><Relationship Id="rId39" Type="http://schemas.openxmlformats.org/officeDocument/2006/relationships/hyperlink" Target="mailto:sik@sik.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ethanolassociation@gmail.com" TargetMode="External"/><Relationship Id="rId34" Type="http://schemas.openxmlformats.org/officeDocument/2006/relationships/hyperlink" Target="mailto:kfst@kfst.dk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e@ae.dk" TargetMode="External"/><Relationship Id="rId17" Type="http://schemas.openxmlformats.org/officeDocument/2006/relationships/hyperlink" Target="mailto:cad@cad.dk" TargetMode="External"/><Relationship Id="rId25" Type="http://schemas.openxmlformats.org/officeDocument/2006/relationships/hyperlink" Target="mailto:dtu@dtu.dk" TargetMode="External"/><Relationship Id="rId33" Type="http://schemas.openxmlformats.org/officeDocument/2006/relationships/hyperlink" Target="mailto:lg@kr.dk" TargetMode="External"/><Relationship Id="rId38" Type="http://schemas.openxmlformats.org/officeDocument/2006/relationships/hyperlink" Target="mailto:sek@sek.dk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margrethe.noergaard@skat.dk" TargetMode="External"/><Relationship Id="rId20" Type="http://schemas.openxmlformats.org/officeDocument/2006/relationships/hyperlink" Target="mailto:info@dagligvareleverandorerne.dk" TargetMode="External"/><Relationship Id="rId29" Type="http://schemas.openxmlformats.org/officeDocument/2006/relationships/hyperlink" Target="mailto:fk@fmk.dk" TargetMode="External"/><Relationship Id="rId41" Type="http://schemas.openxmlformats.org/officeDocument/2006/relationships/hyperlink" Target="mailto:wwf@wwf.d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h@alu.dk" TargetMode="External"/><Relationship Id="rId24" Type="http://schemas.openxmlformats.org/officeDocument/2006/relationships/hyperlink" Target="mailto:MikaelSjoberg@OestreLandsret.dk" TargetMode="External"/><Relationship Id="rId32" Type="http://schemas.openxmlformats.org/officeDocument/2006/relationships/hyperlink" Target="mailto:kl@kl.dk" TargetMode="External"/><Relationship Id="rId37" Type="http://schemas.openxmlformats.org/officeDocument/2006/relationships/hyperlink" Target="mailto:info@sala.dk" TargetMode="External"/><Relationship Id="rId40" Type="http://schemas.openxmlformats.org/officeDocument/2006/relationships/hyperlink" Target="mailto:juraskat@skat.dk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orbundet@blikroer.dk" TargetMode="External"/><Relationship Id="rId23" Type="http://schemas.openxmlformats.org/officeDocument/2006/relationships/hyperlink" Target="mailto:thl@lf.dk" TargetMode="External"/><Relationship Id="rId28" Type="http://schemas.openxmlformats.org/officeDocument/2006/relationships/hyperlink" Target="mailto:aksel@toldergaard.dk" TargetMode="External"/><Relationship Id="rId36" Type="http://schemas.openxmlformats.org/officeDocument/2006/relationships/hyperlink" Target="mailto:lederne@lederne.dk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mailto:ac@ac.dk" TargetMode="External"/><Relationship Id="rId19" Type="http://schemas.openxmlformats.org/officeDocument/2006/relationships/hyperlink" Target="mailto:thh@dlg.dk" TargetMode="External"/><Relationship Id="rId31" Type="http://schemas.openxmlformats.org/officeDocument/2006/relationships/hyperlink" Target="mailto:hoering@horesta.dk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faldplus@affaldplus.dk" TargetMode="External"/><Relationship Id="rId14" Type="http://schemas.openxmlformats.org/officeDocument/2006/relationships/hyperlink" Target="mailto:Pote@atp.dk" TargetMode="External"/><Relationship Id="rId22" Type="http://schemas.openxmlformats.org/officeDocument/2006/relationships/hyperlink" Target="mailto:info@dmogt.dk" TargetMode="External"/><Relationship Id="rId27" Type="http://schemas.openxmlformats.org/officeDocument/2006/relationships/hyperlink" Target="mailto:fdr@fdr.dk" TargetMode="External"/><Relationship Id="rId30" Type="http://schemas.openxmlformats.org/officeDocument/2006/relationships/hyperlink" Target="mailto:hofor@hofor.dk" TargetMode="External"/><Relationship Id="rId35" Type="http://schemas.openxmlformats.org/officeDocument/2006/relationships/hyperlink" Target="mailto:sanst@sanst.dk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john.frederiksen@3f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4</Pages>
  <Words>659</Words>
  <Characters>7447</Characters>
  <Application>Microsoft Office Word</Application>
  <DocSecurity>0</DocSecurity>
  <Lines>413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2014-08-20T13:59:00Z</dcterms:created>
  <dcterms:modified xsi:type="dcterms:W3CDTF">2014-08-20T14:00:00Z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</vt:lpwstr>
  </property>
  <property fmtid="{D5CDD505-2E9C-101B-9397-08002B2CF9AE}" pid="4" name="path">
    <vt:lpwstr>C:\Users\w07365\AppData\Local\Temp\SJ20140820135944591.DOCX</vt:lpwstr>
  </property>
</Properties>
</file>